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Приложение № 1 к Техническим требованиям</w:t>
      </w:r>
      <w:r>
        <w:rPr>
          <w:rFonts w:ascii="Times New Roman" w:hAnsi="Times New Roman" w:cs="Times New Roman"/>
          <w:sz w:val="24"/>
          <w:szCs w:val="28"/>
        </w:rPr>
      </w:r>
      <w:r>
        <w:rPr>
          <w:rFonts w:ascii="Times New Roman" w:hAnsi="Times New Roman" w:cs="Times New Roman"/>
          <w:sz w:val="24"/>
          <w:szCs w:val="28"/>
        </w:rPr>
      </w:r>
    </w:p>
    <w:p>
      <w:pPr>
        <w:jc w:val="right"/>
        <w:keepLines/>
        <w:keepNext/>
        <w:spacing w:after="120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Требования к оформлению и составлению документации по ценообразованию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</w:r>
      <w:r>
        <w:rPr>
          <w:rFonts w:ascii="Times New Roman" w:hAnsi="Times New Roman" w:cs="Times New Roman"/>
          <w:sz w:val="28"/>
          <w:szCs w:val="24"/>
        </w:rPr>
        <w:t xml:space="preserve">О</w:t>
      </w:r>
      <w:r>
        <w:rPr>
          <w:rFonts w:ascii="Times New Roman" w:hAnsi="Times New Roman" w:cs="Times New Roman"/>
          <w:sz w:val="28"/>
          <w:szCs w:val="24"/>
        </w:rPr>
        <w:t xml:space="preserve">КПД2 42.21.22.120 Выполнение работ по капитальному ремонту тепловой сети №01-33 ТК23 - ЦТП «Детская больница» по ул. Фрунзе – ул. Ключевая г. Артем, Приморский край  по реализации пилотного проекта по внедрению стеклопластиковой трубы на сетях ПТС, для При</w:t>
      </w:r>
      <w:r>
        <w:rPr>
          <w:rFonts w:ascii="Times New Roman" w:hAnsi="Times New Roman" w:cs="Times New Roman"/>
          <w:sz w:val="28"/>
          <w:szCs w:val="24"/>
        </w:rPr>
        <w:t xml:space="preserve">морских тепловых сетей</w:t>
      </w:r>
      <w:r>
        <w:rPr>
          <w:rFonts w:ascii="Times New Roman" w:hAnsi="Times New Roman" w:cs="Times New Roman"/>
          <w:sz w:val="28"/>
          <w:szCs w:val="24"/>
        </w:rPr>
      </w:r>
      <w:r>
        <w:rPr>
          <w:rFonts w:ascii="Times New Roman" w:hAnsi="Times New Roman" w:cs="Times New Roman"/>
          <w:sz w:val="28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Лот №</w:t>
      </w:r>
      <w:r>
        <w:rPr>
          <w:rFonts w:ascii="Times New Roman" w:hAnsi="Times New Roman" w:cs="Times New Roman"/>
          <w:b/>
          <w:sz w:val="28"/>
          <w:szCs w:val="24"/>
        </w:rPr>
        <w:t xml:space="preserve">11037010-РЕМ ПРОД-2026-ДГК-ПТС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both"/>
        <w:spacing w:line="276" w:lineRule="auto"/>
        <w:widowControl w:val="off"/>
        <w:rPr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Сметная документация разработана Заказчиком (приложение №3 к наст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оящим Техническим требованиям) в программном комплексе «Гранд-СМЕТА», согласно следующим ценовым показателям (критериям):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ind w:firstLine="709"/>
        <w:jc w:val="both"/>
        <w:spacing w:line="276" w:lineRule="auto"/>
        <w:widowControl w:val="off"/>
        <w:rPr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–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 на базе ФСНБ-2022 (с Изм. 1-17) ресурсно-индексным методом с уровнем цен на 1 квартал 2026 г. на основании Сплит-формы индексов и сметных цен для ценовой зоны Приморский край.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888"/>
        <w:numPr>
          <w:ilvl w:val="0"/>
          <w:numId w:val="6"/>
        </w:numPr>
        <w:ind w:left="0" w:right="0" w:firstLine="709"/>
        <w:jc w:val="both"/>
        <w:spacing w:line="276" w:lineRule="auto"/>
        <w:widowControl w:val="off"/>
        <w:rPr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В локальном сметном расчете учесть: 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888"/>
        <w:numPr>
          <w:ilvl w:val="0"/>
          <w:numId w:val="6"/>
        </w:numPr>
        <w:ind w:left="0" w:right="0" w:firstLine="709"/>
        <w:jc w:val="both"/>
        <w:spacing w:line="276" w:lineRule="auto"/>
        <w:widowControl w:val="off"/>
        <w:rPr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объем сметной прибыли в размере 30%; 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888"/>
        <w:numPr>
          <w:ilvl w:val="0"/>
          <w:numId w:val="6"/>
        </w:numPr>
        <w:ind w:left="0" w:right="0" w:firstLine="709"/>
        <w:jc w:val="both"/>
        <w:spacing w:line="276" w:lineRule="auto"/>
        <w:widowControl w:val="off"/>
        <w:rPr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затраты на з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ахоронение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отходов строительства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IV класс (КГУП "ПЭО" Выписка из Приказа №297 от 01.02.2025 г.) 3438,00 руб/т  (80,2+9,2)*3438,00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;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888"/>
        <w:numPr>
          <w:ilvl w:val="0"/>
          <w:numId w:val="9"/>
        </w:numPr>
        <w:ind w:left="0" w:right="0" w:firstLine="709"/>
        <w:jc w:val="both"/>
        <w:spacing w:line="276" w:lineRule="auto"/>
        <w:widowControl w:val="off"/>
        <w:rPr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затраты на захоронение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отходов строительства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IV класса (КГУП "ПЭО" Выписка из Приказа №009 от 20.01.2026 г.) 1252.27,00 руб/м3 (деревья) ((0,208*0,7*1,43)*2)*1252,27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;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888"/>
        <w:numPr>
          <w:ilvl w:val="0"/>
          <w:numId w:val="10"/>
        </w:numPr>
        <w:ind w:left="0" w:right="0" w:firstLine="709"/>
        <w:jc w:val="both"/>
        <w:spacing w:line="276" w:lineRule="auto"/>
        <w:widowControl w:val="off"/>
        <w:rPr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затраты на захоронение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отходов строительства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V класса (КГУП "ПЭО" Выписка из Приказа №009 от 20.01.2026 г.) 1922,52 руб/т (14,5+44,98+14,94+3,851+0,751+0,85+0,25)*1922,52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;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888"/>
        <w:numPr>
          <w:ilvl w:val="0"/>
          <w:numId w:val="10"/>
        </w:numPr>
        <w:ind w:left="0" w:right="0" w:firstLine="709"/>
        <w:jc w:val="both"/>
        <w:spacing w:line="276" w:lineRule="auto"/>
        <w:widowControl w:val="off"/>
        <w:rPr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компенсационная стоимость за вырубку деревьев (Прил. Думы Артемовского городского округа от 30.07.2015 №507) 1830,09*1*1*1,5*2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;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highlight w:val="white"/>
        </w:rPr>
      </w:r>
    </w:p>
    <w:p>
      <w:pPr>
        <w:pStyle w:val="888"/>
        <w:numPr>
          <w:ilvl w:val="0"/>
          <w:numId w:val="17"/>
        </w:numPr>
        <w:ind w:left="0" w:right="0" w:firstLine="709"/>
        <w:jc w:val="both"/>
        <w:spacing w:line="276" w:lineRule="auto"/>
        <w:widowControl w:val="off"/>
        <w:rPr>
          <w:rFonts w:ascii="Times New Roman" w:hAnsi="Times New Roman" w:cs="Times New Roman"/>
          <w:b w:val="0"/>
          <w:bCs w:val="0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затраты на погрузочные работы и вывоз строительного мусора (54 км для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white"/>
        </w:rPr>
        <w:t xml:space="preserve">магистральной тепловой сети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Тепловая сеть </w:t>
      </w:r>
      <w:r>
        <w:rPr>
          <w:rFonts w:ascii="Times New Roman" w:hAnsi="Times New Roman" w:cs="Times New Roman"/>
          <w:sz w:val="28"/>
          <w:szCs w:val="24"/>
        </w:rPr>
        <w:t xml:space="preserve">№01-33 ТК23 - ЦТП «Детская больница» по ул. Фрунзе – ул. Ключевая г. Артем, Приморский край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информации о цена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 на услуги на перевозку грузов, в зависимости от вида транспорта (автомобили бортовые, автомобили-самосвалы), включенных в ФГИС ЦС и в соответствии со сметными норма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тивами, включенными в ФРСН;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  <w14:ligatures w14:val="none"/>
        </w:rPr>
      </w:r>
    </w:p>
    <w:p>
      <w:pPr>
        <w:pStyle w:val="888"/>
        <w:numPr>
          <w:ilvl w:val="0"/>
          <w:numId w:val="6"/>
        </w:numPr>
        <w:contextualSpacing/>
        <w:ind w:left="0" w:right="0" w:firstLine="709"/>
        <w:jc w:val="both"/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вычесть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стоимость воды;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</w:r>
    </w:p>
    <w:p>
      <w:pPr>
        <w:pStyle w:val="888"/>
        <w:numPr>
          <w:ilvl w:val="0"/>
          <w:numId w:val="6"/>
        </w:numPr>
        <w:contextualSpacing/>
        <w:ind w:left="0" w:right="0" w:firstLine="709"/>
        <w:jc w:val="both"/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в сметную стоимость включен резерв средств на непредвиденные работы и затраты, который составляет 1% сметной стоимости работ.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а стадии закрытия ак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тов выполненных работ данный резерв в процентах не оплачивается. Данн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ый резерв предназн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  <w:t xml:space="preserve">ачен для возмещения стоимости работ, потребность в которых может возникнуть в процессе производства работ, и подлежит оплате на основании акта на вып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  <w:t xml:space="preserve">олнение дополнительных работ, дополнительной сметы, составленной по аналогии с основной сметой Договора подряда.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</w:p>
    <w:p>
      <w:pPr>
        <w:pStyle w:val="888"/>
        <w:numPr>
          <w:ilvl w:val="0"/>
          <w:numId w:val="6"/>
        </w:numPr>
        <w:ind w:left="0" w:right="0" w:firstLine="709"/>
        <w:jc w:val="both"/>
        <w:spacing w:line="276" w:lineRule="auto"/>
        <w:widowControl w:val="off"/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при производстве СМР для учета командировочных расходов составляется расчет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14:ligatures w14:val="none"/>
        </w:rPr>
        <w:t xml:space="preserve">лимиты командировочных расходов на стадии расчетов принимать в размере не более: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14:ligatures w14:val="none"/>
        </w:rPr>
      </w:r>
    </w:p>
    <w:p>
      <w:pPr>
        <w:pStyle w:val="888"/>
        <w:numPr>
          <w:ilvl w:val="0"/>
          <w:numId w:val="18"/>
        </w:numPr>
        <w:ind w:left="1134" w:right="0" w:firstLine="0"/>
        <w:jc w:val="both"/>
        <w:spacing w:line="276" w:lineRule="auto"/>
        <w:widowControl w:val="off"/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14:ligatures w14:val="none"/>
        </w:rPr>
        <w:t xml:space="preserve">суточные – 700 руб./сутки;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14:ligatures w14:val="none"/>
        </w:rPr>
      </w:r>
      <w:r/>
    </w:p>
    <w:p>
      <w:pPr>
        <w:pStyle w:val="888"/>
        <w:numPr>
          <w:ilvl w:val="0"/>
          <w:numId w:val="18"/>
        </w:numPr>
        <w:ind w:left="1134" w:right="0" w:firstLine="0"/>
        <w:jc w:val="both"/>
        <w:spacing w:line="276" w:lineRule="auto"/>
        <w:widowControl w:val="off"/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14:ligatures w14:val="none"/>
        </w:rPr>
        <w:t xml:space="preserve">проживание – 550 руб./сутки;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14:ligatures w14:val="none"/>
        </w:rPr>
      </w:r>
    </w:p>
    <w:p>
      <w:pPr>
        <w:pStyle w:val="888"/>
        <w:numPr>
          <w:ilvl w:val="0"/>
          <w:numId w:val="18"/>
        </w:numPr>
        <w:ind w:left="0" w:right="0" w:firstLine="1134"/>
        <w:jc w:val="both"/>
        <w:spacing w:line="276" w:lineRule="auto"/>
        <w:widowControl w:val="off"/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14:ligatures w14:val="none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line="276" w:lineRule="auto"/>
        <w:widowControl w:val="off"/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По предоставляемым грузоподъемным механизмам, учтенным в составе сметных норм и расценок: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r>
      <w:r/>
    </w:p>
    <w:p>
      <w:pPr>
        <w:pStyle w:val="888"/>
        <w:numPr>
          <w:ilvl w:val="0"/>
          <w:numId w:val="6"/>
        </w:numPr>
        <w:ind w:left="0" w:right="0" w:firstLine="709"/>
        <w:jc w:val="both"/>
        <w:spacing w:line="276" w:lineRule="auto"/>
        <w:widowControl w:val="off"/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Исключать из норм и расценок предоставляемые грузоподъемные механизмы.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r>
      <w:r/>
    </w:p>
    <w:p>
      <w:pPr>
        <w:contextualSpacing/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b w:val="0"/>
          <w:bCs w:val="0"/>
          <w:color w:val="000000"/>
          <w:highlight w:val="white"/>
        </w:rPr>
      </w:pPr>
      <w:r>
        <w:rPr>
          <w:b w:val="0"/>
          <w:bCs w:val="0"/>
          <w:color w:val="000000" w:themeColor="text1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Расходы за утилизацию строительного мусора принимаются на основании представленных в со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ставе исполнительной докуме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нтации отчетных документов (договоров со сторонними организациями на оказание услуг по утилизации мусора, талонов или иных действующих в муниципальном образовании документов на утилизацию и др.) в пределах учтенной в смете суммы.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highlight w:val="white"/>
        </w:rPr>
      </w:r>
    </w:p>
    <w:p>
      <w:pPr>
        <w:contextualSpacing/>
        <w:ind w:firstLine="709"/>
        <w:jc w:val="both"/>
        <w:spacing w:after="0" w:line="276" w:lineRule="auto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  <w:t xml:space="preserve">Сметная документация должна быть предоставлена по элементам затрат с расшифровкой всех статей затрат на электронном носителе в формате gsf программы «ГРАНД-СМЕТА» и на бумажном носителе в формате xls.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  <w:t xml:space="preserve">Сметы составляются с округлением до целых рублей, сводный сметный расчет – с округлением до целых рублей, НДС – с округлением до рублей с двумя знаками после  запятой.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sectPr>
      <w:footnotePr/>
      <w:endnotePr/>
      <w:type w:val="nextPage"/>
      <w:pgSz w:w="11906" w:h="16838" w:orient="portrait"/>
      <w:pgMar w:top="567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2125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845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565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285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05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725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445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65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885" w:hanging="360"/>
      </w:pPr>
      <w:rPr>
        <w:rFonts w:hint="default" w:ascii="Wingdings" w:hAnsi="Wingdings" w:eastAsia="Wingdings" w:cs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0">
    <w:name w:val="Heading 1 Char"/>
    <w:basedOn w:val="717"/>
    <w:link w:val="708"/>
    <w:uiPriority w:val="9"/>
    <w:rPr>
      <w:rFonts w:ascii="Arial" w:hAnsi="Arial" w:eastAsia="Arial" w:cs="Arial"/>
      <w:sz w:val="40"/>
      <w:szCs w:val="40"/>
    </w:rPr>
  </w:style>
  <w:style w:type="character" w:styleId="691">
    <w:name w:val="Heading 2 Char"/>
    <w:basedOn w:val="717"/>
    <w:link w:val="709"/>
    <w:uiPriority w:val="9"/>
    <w:rPr>
      <w:rFonts w:ascii="Arial" w:hAnsi="Arial" w:eastAsia="Arial" w:cs="Arial"/>
      <w:sz w:val="34"/>
    </w:rPr>
  </w:style>
  <w:style w:type="character" w:styleId="692">
    <w:name w:val="Heading 3 Char"/>
    <w:basedOn w:val="717"/>
    <w:link w:val="710"/>
    <w:uiPriority w:val="9"/>
    <w:rPr>
      <w:rFonts w:ascii="Arial" w:hAnsi="Arial" w:eastAsia="Arial" w:cs="Arial"/>
      <w:sz w:val="30"/>
      <w:szCs w:val="30"/>
    </w:rPr>
  </w:style>
  <w:style w:type="character" w:styleId="693">
    <w:name w:val="Heading 4 Char"/>
    <w:basedOn w:val="717"/>
    <w:link w:val="711"/>
    <w:uiPriority w:val="9"/>
    <w:rPr>
      <w:rFonts w:ascii="Arial" w:hAnsi="Arial" w:eastAsia="Arial" w:cs="Arial"/>
      <w:b/>
      <w:bCs/>
      <w:sz w:val="26"/>
      <w:szCs w:val="26"/>
    </w:rPr>
  </w:style>
  <w:style w:type="character" w:styleId="694">
    <w:name w:val="Heading 5 Char"/>
    <w:basedOn w:val="717"/>
    <w:link w:val="712"/>
    <w:uiPriority w:val="9"/>
    <w:rPr>
      <w:rFonts w:ascii="Arial" w:hAnsi="Arial" w:eastAsia="Arial" w:cs="Arial"/>
      <w:b/>
      <w:bCs/>
      <w:sz w:val="24"/>
      <w:szCs w:val="24"/>
    </w:rPr>
  </w:style>
  <w:style w:type="character" w:styleId="695">
    <w:name w:val="Heading 6 Char"/>
    <w:basedOn w:val="717"/>
    <w:link w:val="713"/>
    <w:uiPriority w:val="9"/>
    <w:rPr>
      <w:rFonts w:ascii="Arial" w:hAnsi="Arial" w:eastAsia="Arial" w:cs="Arial"/>
      <w:b/>
      <w:bCs/>
      <w:sz w:val="22"/>
      <w:szCs w:val="22"/>
    </w:rPr>
  </w:style>
  <w:style w:type="character" w:styleId="696">
    <w:name w:val="Heading 7 Char"/>
    <w:basedOn w:val="717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7">
    <w:name w:val="Heading 8 Char"/>
    <w:basedOn w:val="717"/>
    <w:link w:val="715"/>
    <w:uiPriority w:val="9"/>
    <w:rPr>
      <w:rFonts w:ascii="Arial" w:hAnsi="Arial" w:eastAsia="Arial" w:cs="Arial"/>
      <w:i/>
      <w:iCs/>
      <w:sz w:val="22"/>
      <w:szCs w:val="22"/>
    </w:rPr>
  </w:style>
  <w:style w:type="character" w:styleId="698">
    <w:name w:val="Heading 9 Char"/>
    <w:basedOn w:val="717"/>
    <w:link w:val="716"/>
    <w:uiPriority w:val="9"/>
    <w:rPr>
      <w:rFonts w:ascii="Arial" w:hAnsi="Arial" w:eastAsia="Arial" w:cs="Arial"/>
      <w:i/>
      <w:iCs/>
      <w:sz w:val="21"/>
      <w:szCs w:val="21"/>
    </w:rPr>
  </w:style>
  <w:style w:type="character" w:styleId="699">
    <w:name w:val="Title Char"/>
    <w:basedOn w:val="717"/>
    <w:link w:val="729"/>
    <w:uiPriority w:val="10"/>
    <w:rPr>
      <w:sz w:val="48"/>
      <w:szCs w:val="48"/>
    </w:rPr>
  </w:style>
  <w:style w:type="character" w:styleId="700">
    <w:name w:val="Subtitle Char"/>
    <w:basedOn w:val="717"/>
    <w:link w:val="731"/>
    <w:uiPriority w:val="11"/>
    <w:rPr>
      <w:sz w:val="24"/>
      <w:szCs w:val="24"/>
    </w:rPr>
  </w:style>
  <w:style w:type="character" w:styleId="701">
    <w:name w:val="Quote Char"/>
    <w:link w:val="733"/>
    <w:uiPriority w:val="29"/>
    <w:rPr>
      <w:i/>
    </w:rPr>
  </w:style>
  <w:style w:type="character" w:styleId="702">
    <w:name w:val="Intense Quote Char"/>
    <w:link w:val="735"/>
    <w:uiPriority w:val="30"/>
    <w:rPr>
      <w:i/>
    </w:rPr>
  </w:style>
  <w:style w:type="character" w:styleId="703">
    <w:name w:val="Header Char"/>
    <w:basedOn w:val="717"/>
    <w:link w:val="737"/>
    <w:uiPriority w:val="99"/>
  </w:style>
  <w:style w:type="character" w:styleId="704">
    <w:name w:val="Caption Char"/>
    <w:basedOn w:val="741"/>
    <w:link w:val="739"/>
    <w:uiPriority w:val="99"/>
  </w:style>
  <w:style w:type="character" w:styleId="705">
    <w:name w:val="Footnote Text Char"/>
    <w:link w:val="870"/>
    <w:uiPriority w:val="99"/>
    <w:rPr>
      <w:sz w:val="18"/>
    </w:rPr>
  </w:style>
  <w:style w:type="character" w:styleId="706">
    <w:name w:val="Endnote Text Char"/>
    <w:link w:val="873"/>
    <w:uiPriority w:val="99"/>
    <w:rPr>
      <w:sz w:val="20"/>
    </w:rPr>
  </w:style>
  <w:style w:type="paragraph" w:styleId="707" w:default="1">
    <w:name w:val="Normal"/>
    <w:qFormat/>
  </w:style>
  <w:style w:type="paragraph" w:styleId="708">
    <w:name w:val="Heading 1"/>
    <w:basedOn w:val="707"/>
    <w:next w:val="707"/>
    <w:link w:val="720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09">
    <w:name w:val="Heading 2"/>
    <w:basedOn w:val="707"/>
    <w:next w:val="707"/>
    <w:link w:val="72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0">
    <w:name w:val="Heading 3"/>
    <w:basedOn w:val="707"/>
    <w:next w:val="707"/>
    <w:link w:val="72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11">
    <w:name w:val="Heading 4"/>
    <w:basedOn w:val="707"/>
    <w:next w:val="707"/>
    <w:link w:val="723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2">
    <w:name w:val="Heading 5"/>
    <w:basedOn w:val="707"/>
    <w:next w:val="707"/>
    <w:link w:val="724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3">
    <w:name w:val="Heading 6"/>
    <w:basedOn w:val="707"/>
    <w:next w:val="707"/>
    <w:link w:val="725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14">
    <w:name w:val="Heading 7"/>
    <w:basedOn w:val="707"/>
    <w:next w:val="707"/>
    <w:link w:val="726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15">
    <w:name w:val="Heading 8"/>
    <w:basedOn w:val="707"/>
    <w:next w:val="707"/>
    <w:link w:val="727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16">
    <w:name w:val="Heading 9"/>
    <w:basedOn w:val="707"/>
    <w:next w:val="707"/>
    <w:link w:val="72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7" w:default="1">
    <w:name w:val="Default Paragraph Font"/>
    <w:uiPriority w:val="1"/>
    <w:unhideWhenUsed/>
  </w:style>
  <w:style w:type="table" w:styleId="7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9" w:default="1">
    <w:name w:val="No List"/>
    <w:uiPriority w:val="99"/>
    <w:semiHidden/>
    <w:unhideWhenUsed/>
  </w:style>
  <w:style w:type="character" w:styleId="720" w:customStyle="1">
    <w:name w:val="Заголовок 1 Знак"/>
    <w:link w:val="708"/>
    <w:uiPriority w:val="9"/>
    <w:rPr>
      <w:rFonts w:ascii="Arial" w:hAnsi="Arial" w:eastAsia="Arial" w:cs="Arial"/>
      <w:sz w:val="40"/>
      <w:szCs w:val="40"/>
    </w:rPr>
  </w:style>
  <w:style w:type="character" w:styleId="721" w:customStyle="1">
    <w:name w:val="Заголовок 2 Знак"/>
    <w:link w:val="709"/>
    <w:uiPriority w:val="9"/>
    <w:rPr>
      <w:rFonts w:ascii="Arial" w:hAnsi="Arial" w:eastAsia="Arial" w:cs="Arial"/>
      <w:sz w:val="34"/>
    </w:rPr>
  </w:style>
  <w:style w:type="character" w:styleId="722" w:customStyle="1">
    <w:name w:val="Заголовок 3 Знак"/>
    <w:link w:val="710"/>
    <w:uiPriority w:val="9"/>
    <w:rPr>
      <w:rFonts w:ascii="Arial" w:hAnsi="Arial" w:eastAsia="Arial" w:cs="Arial"/>
      <w:sz w:val="30"/>
      <w:szCs w:val="30"/>
    </w:rPr>
  </w:style>
  <w:style w:type="character" w:styleId="723" w:customStyle="1">
    <w:name w:val="Заголовок 4 Знак"/>
    <w:link w:val="711"/>
    <w:uiPriority w:val="9"/>
    <w:rPr>
      <w:rFonts w:ascii="Arial" w:hAnsi="Arial" w:eastAsia="Arial" w:cs="Arial"/>
      <w:b/>
      <w:bCs/>
      <w:sz w:val="26"/>
      <w:szCs w:val="26"/>
    </w:rPr>
  </w:style>
  <w:style w:type="character" w:styleId="724" w:customStyle="1">
    <w:name w:val="Заголовок 5 Знак"/>
    <w:link w:val="712"/>
    <w:uiPriority w:val="9"/>
    <w:rPr>
      <w:rFonts w:ascii="Arial" w:hAnsi="Arial" w:eastAsia="Arial" w:cs="Arial"/>
      <w:b/>
      <w:bCs/>
      <w:sz w:val="24"/>
      <w:szCs w:val="24"/>
    </w:rPr>
  </w:style>
  <w:style w:type="character" w:styleId="725" w:customStyle="1">
    <w:name w:val="Заголовок 6 Знак"/>
    <w:link w:val="713"/>
    <w:uiPriority w:val="9"/>
    <w:rPr>
      <w:rFonts w:ascii="Arial" w:hAnsi="Arial" w:eastAsia="Arial" w:cs="Arial"/>
      <w:b/>
      <w:bCs/>
      <w:sz w:val="22"/>
      <w:szCs w:val="22"/>
    </w:rPr>
  </w:style>
  <w:style w:type="character" w:styleId="726" w:customStyle="1">
    <w:name w:val="Заголовок 7 Знак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7" w:customStyle="1">
    <w:name w:val="Заголовок 8 Знак"/>
    <w:link w:val="715"/>
    <w:uiPriority w:val="9"/>
    <w:rPr>
      <w:rFonts w:ascii="Arial" w:hAnsi="Arial" w:eastAsia="Arial" w:cs="Arial"/>
      <w:i/>
      <w:iCs/>
      <w:sz w:val="22"/>
      <w:szCs w:val="22"/>
    </w:rPr>
  </w:style>
  <w:style w:type="character" w:styleId="728" w:customStyle="1">
    <w:name w:val="Заголовок 9 Знак"/>
    <w:link w:val="716"/>
    <w:uiPriority w:val="9"/>
    <w:rPr>
      <w:rFonts w:ascii="Arial" w:hAnsi="Arial" w:eastAsia="Arial" w:cs="Arial"/>
      <w:i/>
      <w:iCs/>
      <w:sz w:val="21"/>
      <w:szCs w:val="21"/>
    </w:rPr>
  </w:style>
  <w:style w:type="paragraph" w:styleId="729">
    <w:name w:val="Title"/>
    <w:basedOn w:val="707"/>
    <w:next w:val="707"/>
    <w:link w:val="730"/>
    <w:uiPriority w:val="10"/>
    <w:qFormat/>
    <w:pPr>
      <w:contextualSpacing/>
      <w:spacing w:before="300"/>
    </w:pPr>
    <w:rPr>
      <w:sz w:val="48"/>
      <w:szCs w:val="48"/>
    </w:rPr>
  </w:style>
  <w:style w:type="character" w:styleId="730" w:customStyle="1">
    <w:name w:val="Название Знак"/>
    <w:link w:val="729"/>
    <w:uiPriority w:val="10"/>
    <w:rPr>
      <w:sz w:val="48"/>
      <w:szCs w:val="48"/>
    </w:rPr>
  </w:style>
  <w:style w:type="paragraph" w:styleId="731">
    <w:name w:val="Subtitle"/>
    <w:basedOn w:val="707"/>
    <w:next w:val="707"/>
    <w:link w:val="732"/>
    <w:uiPriority w:val="11"/>
    <w:qFormat/>
    <w:pPr>
      <w:spacing w:before="200"/>
    </w:pPr>
    <w:rPr>
      <w:sz w:val="24"/>
      <w:szCs w:val="24"/>
    </w:rPr>
  </w:style>
  <w:style w:type="character" w:styleId="732" w:customStyle="1">
    <w:name w:val="Подзаголовок Знак"/>
    <w:link w:val="731"/>
    <w:uiPriority w:val="11"/>
    <w:rPr>
      <w:sz w:val="24"/>
      <w:szCs w:val="24"/>
    </w:rPr>
  </w:style>
  <w:style w:type="paragraph" w:styleId="733">
    <w:name w:val="Quote"/>
    <w:basedOn w:val="707"/>
    <w:next w:val="707"/>
    <w:link w:val="734"/>
    <w:uiPriority w:val="29"/>
    <w:qFormat/>
    <w:pPr>
      <w:ind w:left="720" w:right="720"/>
    </w:pPr>
    <w:rPr>
      <w:i/>
    </w:rPr>
  </w:style>
  <w:style w:type="character" w:styleId="734" w:customStyle="1">
    <w:name w:val="Цитата 2 Знак"/>
    <w:link w:val="733"/>
    <w:uiPriority w:val="29"/>
    <w:rPr>
      <w:i/>
    </w:rPr>
  </w:style>
  <w:style w:type="paragraph" w:styleId="735">
    <w:name w:val="Intense Quote"/>
    <w:basedOn w:val="707"/>
    <w:next w:val="707"/>
    <w:link w:val="73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6" w:customStyle="1">
    <w:name w:val="Выделенная цитата Знак"/>
    <w:link w:val="735"/>
    <w:uiPriority w:val="30"/>
    <w:rPr>
      <w:i/>
    </w:rPr>
  </w:style>
  <w:style w:type="paragraph" w:styleId="737">
    <w:name w:val="Header"/>
    <w:basedOn w:val="707"/>
    <w:link w:val="73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8" w:customStyle="1">
    <w:name w:val="Верхний колонтитул Знак"/>
    <w:link w:val="737"/>
    <w:uiPriority w:val="99"/>
  </w:style>
  <w:style w:type="paragraph" w:styleId="739">
    <w:name w:val="Footer"/>
    <w:basedOn w:val="707"/>
    <w:link w:val="7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0" w:customStyle="1">
    <w:name w:val="Footer Char"/>
    <w:uiPriority w:val="99"/>
  </w:style>
  <w:style w:type="paragraph" w:styleId="741">
    <w:name w:val="Caption"/>
    <w:basedOn w:val="707"/>
    <w:next w:val="707"/>
    <w:link w:val="704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42" w:customStyle="1">
    <w:name w:val="Нижний колонтитул Знак"/>
    <w:link w:val="739"/>
    <w:uiPriority w:val="99"/>
  </w:style>
  <w:style w:type="table" w:styleId="743">
    <w:name w:val="Table Grid"/>
    <w:basedOn w:val="71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44" w:customStyle="1">
    <w:name w:val="Table Grid Light"/>
    <w:basedOn w:val="71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5" w:customStyle="1">
    <w:name w:val="Plain Table 1"/>
    <w:basedOn w:val="71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6" w:customStyle="1">
    <w:name w:val="Plain Table 2"/>
    <w:basedOn w:val="71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7" w:customStyle="1">
    <w:name w:val="Plain Table 3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8" w:customStyle="1">
    <w:name w:val="Plain Table 4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Plain Table 5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1 Light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1 Light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Grid Table 1 Light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2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2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3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4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2" w:customStyle="1">
    <w:name w:val="Grid Table 4 - Accent 1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73" w:customStyle="1">
    <w:name w:val="Grid Table 4 - Accent 2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74" w:customStyle="1">
    <w:name w:val="Grid Table 4 - Accent 3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75" w:customStyle="1">
    <w:name w:val="Grid Table 4 - Accent 4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76" w:customStyle="1">
    <w:name w:val="Grid Table 4 - Accent 5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77" w:customStyle="1">
    <w:name w:val="Grid Table 4 - Accent 6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78" w:customStyle="1">
    <w:name w:val="Grid Table 5 Dark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5 Dark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82" w:customStyle="1">
    <w:name w:val="Grid Table 5 Dark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83" w:customStyle="1">
    <w:name w:val="Grid Table 5 Dark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6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6" w:customStyle="1">
    <w:name w:val="Grid Table 6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87" w:customStyle="1">
    <w:name w:val="Grid Table 6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88" w:customStyle="1">
    <w:name w:val="Grid Table 6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89" w:customStyle="1">
    <w:name w:val="Grid Table 6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90" w:customStyle="1">
    <w:name w:val="Grid Table 6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1" w:customStyle="1">
    <w:name w:val="Grid Table 6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2" w:customStyle="1">
    <w:name w:val="Grid Table 7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7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7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7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7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7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7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1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2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3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1 Light - Accent 4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5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6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7" w:customStyle="1">
    <w:name w:val="List Table 2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08" w:customStyle="1">
    <w:name w:val="List Table 2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09" w:customStyle="1">
    <w:name w:val="List Table 2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10" w:customStyle="1">
    <w:name w:val="List Table 2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11" w:customStyle="1">
    <w:name w:val="List Table 2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13" w:customStyle="1">
    <w:name w:val="List Table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3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3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4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4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5 Dark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 w:customStyle="1">
    <w:name w:val="List Table 5 Dark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 w:customStyle="1">
    <w:name w:val="List Table 5 Dark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5 Dark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1" w:customStyle="1">
    <w:name w:val="List Table 5 Dark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 w:customStyle="1">
    <w:name w:val="List Table 5 Dark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6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5" w:customStyle="1">
    <w:name w:val="List Table 6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36" w:customStyle="1">
    <w:name w:val="List Table 6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37" w:customStyle="1">
    <w:name w:val="List Table 6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38" w:customStyle="1">
    <w:name w:val="List Table 6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39" w:customStyle="1">
    <w:name w:val="List Table 6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40" w:customStyle="1">
    <w:name w:val="List Table 6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41" w:customStyle="1">
    <w:name w:val="List Table 7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7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7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7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7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7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7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ned - Accent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9" w:customStyle="1">
    <w:name w:val="Lined - Accent 1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0" w:customStyle="1">
    <w:name w:val="Lined - Accent 2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1" w:customStyle="1">
    <w:name w:val="Lined - Accent 3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2" w:customStyle="1">
    <w:name w:val="Lined - Accent 4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3" w:customStyle="1">
    <w:name w:val="Lined - Accent 5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4" w:customStyle="1">
    <w:name w:val="Lined - Accent 6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5" w:customStyle="1">
    <w:name w:val="Bordered &amp; Lined - Accent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6" w:customStyle="1">
    <w:name w:val="Bordered &amp; Lined - Accent 1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7" w:customStyle="1">
    <w:name w:val="Bordered &amp; Lined - Accent 2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8" w:customStyle="1">
    <w:name w:val="Bordered &amp; Lined - Accent 3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9" w:customStyle="1">
    <w:name w:val="Bordered &amp; Lined - Accent 4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0" w:customStyle="1">
    <w:name w:val="Bordered &amp; Lined - Accent 5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1" w:customStyle="1">
    <w:name w:val="Bordered &amp; Lined - Accent 6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2" w:customStyle="1">
    <w:name w:val="Bordered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3" w:customStyle="1">
    <w:name w:val="Bordered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64" w:customStyle="1">
    <w:name w:val="Bordered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65" w:customStyle="1">
    <w:name w:val="Bordered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66" w:customStyle="1">
    <w:name w:val="Bordered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67" w:customStyle="1">
    <w:name w:val="Bordered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68" w:customStyle="1">
    <w:name w:val="Bordered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69">
    <w:name w:val="Hyperlink"/>
    <w:uiPriority w:val="99"/>
    <w:unhideWhenUsed/>
    <w:rPr>
      <w:color w:val="0563c1" w:themeColor="hyperlink"/>
      <w:u w:val="single"/>
    </w:rPr>
  </w:style>
  <w:style w:type="paragraph" w:styleId="870">
    <w:name w:val="footnote text"/>
    <w:basedOn w:val="707"/>
    <w:link w:val="871"/>
    <w:uiPriority w:val="99"/>
    <w:semiHidden/>
    <w:unhideWhenUsed/>
    <w:pPr>
      <w:spacing w:after="40" w:line="240" w:lineRule="auto"/>
    </w:pPr>
    <w:rPr>
      <w:sz w:val="18"/>
    </w:rPr>
  </w:style>
  <w:style w:type="character" w:styleId="871" w:customStyle="1">
    <w:name w:val="Текст сноски Знак"/>
    <w:link w:val="870"/>
    <w:uiPriority w:val="99"/>
    <w:rPr>
      <w:sz w:val="18"/>
    </w:rPr>
  </w:style>
  <w:style w:type="character" w:styleId="872">
    <w:name w:val="footnote reference"/>
    <w:uiPriority w:val="99"/>
    <w:unhideWhenUsed/>
    <w:rPr>
      <w:vertAlign w:val="superscript"/>
    </w:rPr>
  </w:style>
  <w:style w:type="paragraph" w:styleId="873">
    <w:name w:val="endnote text"/>
    <w:basedOn w:val="707"/>
    <w:link w:val="874"/>
    <w:uiPriority w:val="99"/>
    <w:semiHidden/>
    <w:unhideWhenUsed/>
    <w:pPr>
      <w:spacing w:after="0" w:line="240" w:lineRule="auto"/>
    </w:pPr>
    <w:rPr>
      <w:sz w:val="20"/>
    </w:rPr>
  </w:style>
  <w:style w:type="character" w:styleId="874" w:customStyle="1">
    <w:name w:val="Текст концевой сноски Знак"/>
    <w:link w:val="873"/>
    <w:uiPriority w:val="99"/>
    <w:rPr>
      <w:sz w:val="20"/>
    </w:rPr>
  </w:style>
  <w:style w:type="character" w:styleId="875">
    <w:name w:val="endnote reference"/>
    <w:uiPriority w:val="99"/>
    <w:semiHidden/>
    <w:unhideWhenUsed/>
    <w:rPr>
      <w:vertAlign w:val="superscript"/>
    </w:rPr>
  </w:style>
  <w:style w:type="paragraph" w:styleId="876">
    <w:name w:val="toc 1"/>
    <w:basedOn w:val="707"/>
    <w:next w:val="707"/>
    <w:uiPriority w:val="39"/>
    <w:unhideWhenUsed/>
    <w:pPr>
      <w:spacing w:after="57"/>
    </w:pPr>
  </w:style>
  <w:style w:type="paragraph" w:styleId="877">
    <w:name w:val="toc 2"/>
    <w:basedOn w:val="707"/>
    <w:next w:val="707"/>
    <w:uiPriority w:val="39"/>
    <w:unhideWhenUsed/>
    <w:pPr>
      <w:ind w:left="283"/>
      <w:spacing w:after="57"/>
    </w:pPr>
  </w:style>
  <w:style w:type="paragraph" w:styleId="878">
    <w:name w:val="toc 3"/>
    <w:basedOn w:val="707"/>
    <w:next w:val="707"/>
    <w:uiPriority w:val="39"/>
    <w:unhideWhenUsed/>
    <w:pPr>
      <w:ind w:left="567"/>
      <w:spacing w:after="57"/>
    </w:pPr>
  </w:style>
  <w:style w:type="paragraph" w:styleId="879">
    <w:name w:val="toc 4"/>
    <w:basedOn w:val="707"/>
    <w:next w:val="707"/>
    <w:uiPriority w:val="39"/>
    <w:unhideWhenUsed/>
    <w:pPr>
      <w:ind w:left="850"/>
      <w:spacing w:after="57"/>
    </w:pPr>
  </w:style>
  <w:style w:type="paragraph" w:styleId="880">
    <w:name w:val="toc 5"/>
    <w:basedOn w:val="707"/>
    <w:next w:val="707"/>
    <w:uiPriority w:val="39"/>
    <w:unhideWhenUsed/>
    <w:pPr>
      <w:ind w:left="1134"/>
      <w:spacing w:after="57"/>
    </w:pPr>
  </w:style>
  <w:style w:type="paragraph" w:styleId="881">
    <w:name w:val="toc 6"/>
    <w:basedOn w:val="707"/>
    <w:next w:val="707"/>
    <w:uiPriority w:val="39"/>
    <w:unhideWhenUsed/>
    <w:pPr>
      <w:ind w:left="1417"/>
      <w:spacing w:after="57"/>
    </w:pPr>
  </w:style>
  <w:style w:type="paragraph" w:styleId="882">
    <w:name w:val="toc 7"/>
    <w:basedOn w:val="707"/>
    <w:next w:val="707"/>
    <w:uiPriority w:val="39"/>
    <w:unhideWhenUsed/>
    <w:pPr>
      <w:ind w:left="1701"/>
      <w:spacing w:after="57"/>
    </w:pPr>
  </w:style>
  <w:style w:type="paragraph" w:styleId="883">
    <w:name w:val="toc 8"/>
    <w:basedOn w:val="707"/>
    <w:next w:val="707"/>
    <w:uiPriority w:val="39"/>
    <w:unhideWhenUsed/>
    <w:pPr>
      <w:ind w:left="1984"/>
      <w:spacing w:after="57"/>
    </w:pPr>
  </w:style>
  <w:style w:type="paragraph" w:styleId="884">
    <w:name w:val="toc 9"/>
    <w:basedOn w:val="707"/>
    <w:next w:val="707"/>
    <w:uiPriority w:val="39"/>
    <w:unhideWhenUsed/>
    <w:pPr>
      <w:ind w:left="2268"/>
      <w:spacing w:after="57"/>
    </w:pPr>
  </w:style>
  <w:style w:type="paragraph" w:styleId="885">
    <w:name w:val="TOC Heading"/>
    <w:uiPriority w:val="39"/>
    <w:unhideWhenUsed/>
  </w:style>
  <w:style w:type="paragraph" w:styleId="886">
    <w:name w:val="table of figures"/>
    <w:basedOn w:val="707"/>
    <w:next w:val="707"/>
    <w:uiPriority w:val="99"/>
    <w:unhideWhenUsed/>
    <w:pPr>
      <w:spacing w:after="0"/>
    </w:pPr>
  </w:style>
  <w:style w:type="paragraph" w:styleId="887">
    <w:name w:val="No Spacing"/>
    <w:basedOn w:val="707"/>
    <w:uiPriority w:val="1"/>
    <w:qFormat/>
    <w:pPr>
      <w:spacing w:after="0" w:line="240" w:lineRule="auto"/>
    </w:pPr>
  </w:style>
  <w:style w:type="paragraph" w:styleId="888">
    <w:name w:val="List Paragraph"/>
    <w:basedOn w:val="707"/>
    <w:uiPriority w:val="34"/>
    <w:qFormat/>
    <w:pPr>
      <w:contextualSpacing/>
      <w:ind w:left="720"/>
    </w:pPr>
  </w:style>
  <w:style w:type="paragraph" w:styleId="889">
    <w:name w:val="annotation text"/>
    <w:pPr>
      <w:ind w:firstLine="567"/>
      <w:jc w:val="both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0" w:customStyle="1">
    <w:name w:val="ConsPlusNormal"/>
    <w:link w:val="882"/>
    <w:pPr>
      <w:contextualSpacing w:val="0"/>
      <w:ind w:left="0" w:right="0" w:firstLine="72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shevchenko_ko</cp:lastModifiedBy>
  <cp:revision>30</cp:revision>
  <dcterms:created xsi:type="dcterms:W3CDTF">2023-01-24T05:53:00Z</dcterms:created>
  <dcterms:modified xsi:type="dcterms:W3CDTF">2026-03-18T04:49:54Z</dcterms:modified>
</cp:coreProperties>
</file>